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52F96" w:rsidRDefault="007128FA">
      <w:pPr>
        <w:spacing w:before="240" w:after="240" w:line="276" w:lineRule="auto"/>
        <w:ind w:left="0" w:right="0"/>
        <w:jc w:val="center"/>
        <w:rPr>
          <w:rFonts w:ascii="Calibri" w:eastAsia="Calibri" w:hAnsi="Calibri" w:cs="Calibri"/>
          <w:b/>
          <w:color w:val="001052"/>
          <w:sz w:val="30"/>
          <w:szCs w:val="30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„Otwórz archiwum, uruchom społeczność!”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br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IV Kongres Archiwów Społecznych już we wrześniu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br/>
      </w:r>
    </w:p>
    <w:p w14:paraId="00000002" w14:textId="02153A5C" w:rsidR="00152F96" w:rsidRDefault="007128FA">
      <w:pPr>
        <w:spacing w:before="240" w:after="240" w:line="240" w:lineRule="auto"/>
        <w:ind w:left="0" w:right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>„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Otwórz archiwum, uruchom społeczność!</w:t>
      </w: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>”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– </w:t>
      </w:r>
      <w:r w:rsidR="00F118C5">
        <w:rPr>
          <w:rFonts w:ascii="Calibri" w:eastAsia="Calibri" w:hAnsi="Calibri" w:cs="Calibri"/>
          <w:b/>
          <w:color w:val="000000"/>
          <w:sz w:val="20"/>
          <w:szCs w:val="20"/>
        </w:rPr>
        <w:t xml:space="preserve"> to hasło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IV Kongres</w:t>
      </w:r>
      <w:r w:rsidR="00F118C5">
        <w:rPr>
          <w:rFonts w:ascii="Calibri" w:eastAsia="Calibri" w:hAnsi="Calibri" w:cs="Calibri"/>
          <w:b/>
          <w:color w:val="000000"/>
          <w:sz w:val="20"/>
          <w:szCs w:val="20"/>
        </w:rPr>
        <w:t>u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Archiwów Społecznych. Organizowane przez Centrum Archiwistyki Społecznej święto archiwistów społecznych i pasjonatów lokalności </w:t>
      </w:r>
      <w:r w:rsidRPr="00F118C5">
        <w:rPr>
          <w:rFonts w:ascii="Calibri" w:eastAsia="Calibri" w:hAnsi="Calibri" w:cs="Calibri"/>
          <w:b/>
          <w:color w:val="000000"/>
          <w:sz w:val="20"/>
          <w:szCs w:val="20"/>
        </w:rPr>
        <w:t>odbędzie się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24–25 września w Muzeum Józefa Piłsudskiego w Sulejówku. W wydarzeniu można wziąć udział stacjonarnie lub online. Rejestracja do udziału w spotkaniu rusza 23 sierpnia.</w:t>
      </w:r>
    </w:p>
    <w:p w14:paraId="00000003" w14:textId="687B033F" w:rsidR="00152F96" w:rsidRDefault="007128FA">
      <w:pPr>
        <w:spacing w:line="240" w:lineRule="auto"/>
        <w:ind w:left="0" w:right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 Polsce istnieje około 600 archiwów społecznych. Historia wielu miasteczek, wsi, dzielnic nie zostałaby opowiedziana, gdyby nie aktywność setek środowisk, tworzących ruch archiwistyki społecznej. Hasło tegorocznego Kongresu „Otwórz archiwum</w:t>
      </w:r>
      <w:r w:rsidR="00864412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eastAsia="Calibri" w:hAnsi="Calibri" w:cs="Calibri"/>
          <w:color w:val="000000"/>
          <w:sz w:val="20"/>
          <w:szCs w:val="20"/>
        </w:rPr>
        <w:t>uruchom społeczność!” ma zachęcić nie tylko do zakładania nowych archiwów, ale też do otwierania się na nowe wyzwania związane z projektami w społecznościach.</w:t>
      </w:r>
    </w:p>
    <w:p w14:paraId="00000004" w14:textId="77777777" w:rsidR="00152F96" w:rsidRDefault="00152F96">
      <w:pPr>
        <w:spacing w:line="240" w:lineRule="auto"/>
        <w:ind w:left="0" w:right="0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05" w14:textId="77777777" w:rsidR="00152F96" w:rsidRDefault="007128FA">
      <w:pPr>
        <w:spacing w:line="240" w:lineRule="auto"/>
        <w:ind w:left="0" w:right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Archiwa społeczne cechuje ogromna różnorodność. Co łączy opowieść o łódzkich robotnicach na przestrzeni dziejów z zapisem historii powodzian na Dolnym Śląsku w latach 90. XX wieku? To historie, do których nikt wcześniej nie dotarł, oddające głos osobom dotąd niewysłuchanym, tworzone przy udziale społeczności. Taka oddolna, partycypacyjna praca z historią ma ogromną moc zmiany społecznej </w:t>
      </w:r>
      <w:r>
        <w:rPr>
          <w:rFonts w:ascii="Calibri" w:eastAsia="Calibri" w:hAnsi="Calibri" w:cs="Calibri"/>
          <w:color w:val="000000"/>
          <w:sz w:val="20"/>
          <w:szCs w:val="20"/>
        </w:rPr>
        <w:t>–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chcemy to pokazać podczas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br/>
        <w:t xml:space="preserve">IV Kongresu Archiwów Społecznych – </w:t>
      </w:r>
      <w:r>
        <w:rPr>
          <w:rFonts w:ascii="Calibri" w:eastAsia="Calibri" w:hAnsi="Calibri" w:cs="Calibri"/>
          <w:color w:val="000000"/>
          <w:sz w:val="20"/>
          <w:szCs w:val="20"/>
        </w:rPr>
        <w:t>mówi Katarzyna Ziętal, dyrektorka Centrum Archiwistyki Społecznej, nowej instytucji kultury, współprowadzonej przez Ministerstwo Kultury, Dziedzictwa Narodowego i Sportu oraz Fundację Ośrodka KARTA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.</w:t>
      </w:r>
    </w:p>
    <w:p w14:paraId="00000006" w14:textId="77777777" w:rsidR="00152F96" w:rsidRDefault="00152F96">
      <w:pPr>
        <w:spacing w:line="240" w:lineRule="auto"/>
        <w:ind w:left="0" w:right="0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07" w14:textId="77777777" w:rsidR="00152F96" w:rsidRDefault="007128FA">
      <w:pPr>
        <w:spacing w:line="240" w:lineRule="auto"/>
        <w:ind w:left="0" w:right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 ciągu dwóch dni uczestnicy Kongresu wezmą udział w spotkaniach i warsztatach, w czasie których zdobędą wiedzę i poznają narzędzia potrzebne do tworzenia lub rozwijania archiwów oraz wymienią się doświadczeniami. Będzie to także okazja do budowania społeczności osób angażujących się w działania z zakresu archiwistyki społecznej.</w:t>
      </w:r>
    </w:p>
    <w:p w14:paraId="00000008" w14:textId="77777777" w:rsidR="00152F96" w:rsidRDefault="00152F96">
      <w:pPr>
        <w:spacing w:line="240" w:lineRule="auto"/>
        <w:ind w:left="0" w:right="0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09" w14:textId="77777777" w:rsidR="00152F96" w:rsidRDefault="007128FA">
      <w:pPr>
        <w:spacing w:line="240" w:lineRule="auto"/>
        <w:ind w:left="0" w:right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Kongres rozpocznie debata zatytułowana </w:t>
      </w: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>„</w:t>
      </w:r>
      <w:r>
        <w:rPr>
          <w:rFonts w:ascii="Calibri" w:eastAsia="Calibri" w:hAnsi="Calibri" w:cs="Calibri"/>
          <w:color w:val="000000"/>
          <w:sz w:val="20"/>
          <w:szCs w:val="20"/>
        </w:rPr>
        <w:t>Po co nam archiwa społeczne?</w:t>
      </w: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>”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O korzyściach płynących z archiwów społecznych i wyzwaniach, jakie przed nimi stoją, dyskutować będą: Magdalena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Grzebałkowska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–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pisarka </w:t>
      </w:r>
      <w:r>
        <w:rPr>
          <w:rFonts w:ascii="Calibri" w:eastAsia="Calibri" w:hAnsi="Calibri" w:cs="Calibri"/>
          <w:color w:val="000000"/>
          <w:sz w:val="20"/>
          <w:szCs w:val="20"/>
        </w:rPr>
        <w:br/>
        <w:t xml:space="preserve">i reporterka, Alicja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Wancerz-Gluza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–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współtwórczyni Ośrodka KARTA, prof. Robert Traba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–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historyk i działacz społeczny oraz Katarzyna Ziętal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–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dyrektorka Centrum Archiwistyki Społecznej. Debatę poprowadzi Michał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Nogaś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0000000A" w14:textId="77777777" w:rsidR="00152F96" w:rsidRDefault="00152F96">
      <w:pPr>
        <w:spacing w:line="240" w:lineRule="auto"/>
        <w:ind w:left="0" w:right="0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0B" w14:textId="77777777" w:rsidR="00152F96" w:rsidRDefault="007128FA">
      <w:pPr>
        <w:spacing w:line="240" w:lineRule="auto"/>
        <w:ind w:left="0" w:right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 drugim dniu Kongresu wystąpią przedstawiciele archiwów społecznych, którzy opowiedzą o tym, jak ich działania przyczyniają się do budowania wspólnoty lokalnej i wzmacniania więzi społecznych. Podczas krótkich prezentacji będzie można poznać działalność Latającego Archiwum Dolnego Śląska, Ośrodka „Pogranicze – sztuk, kultur, narodów”, Cyfrowego Archiwum Łodzian Miastograf.pl, Archiwum Społecznego Sulejówka, Wirtualnego Muzeum Historii Żydów w Białowieży, Archiwum Historii Audiowizualnej Warmii i Mazur, Dźwiękowego Archiwum Kcyni oraz Jednorożeckiego Archiwum Społecznego.</w:t>
      </w:r>
    </w:p>
    <w:p w14:paraId="0000000C" w14:textId="77777777" w:rsidR="00152F96" w:rsidRDefault="007128FA">
      <w:pPr>
        <w:spacing w:line="240" w:lineRule="auto"/>
        <w:ind w:left="0" w:right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br/>
        <w:t xml:space="preserve">Centrum Archiwistyki Społecznej przygotowało również wiele warsztatów. Wszyscy uczestniczący w Kongresie, </w:t>
      </w: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zarówno stacjonarnie, jak i online, będą mieli możliwość wzięcia udziału w zajęciach dotyczących m.in. opracowywania zbiorów, przygotowywania podcastów i wystaw, dobrych praktyk w działaniach ze społecznościami lokalnymi, tworzenia archiwów społecznych i twórczych działań wokół nich czy budowania zaangażowanego wolontariatu.</w:t>
      </w:r>
    </w:p>
    <w:p w14:paraId="0000000D" w14:textId="77777777" w:rsidR="00152F96" w:rsidRDefault="00152F96">
      <w:pPr>
        <w:spacing w:line="240" w:lineRule="auto"/>
        <w:ind w:left="0" w:right="0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0E" w14:textId="77777777" w:rsidR="00152F96" w:rsidRDefault="007128FA">
      <w:pPr>
        <w:spacing w:line="240" w:lineRule="auto"/>
        <w:ind w:left="0" w:right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 Kongresie mogą wziąć udział nie tylko archiwiści społeczni, ale także wszystkie osoby zainteresowane odkrywaniem lokalnych historii.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Aby umożliwić udział w tym święcie archiwistów społecznych jak największej liczbie uczestników, Centrum Archiwistyki Społecznej przygotowało  specjalną platformę internetową. Za jej pomocą zarejestrowani użytkownicy będą mogli wziąć udział w wydarzeniach Kongresu niezależnie od miejsca, w którym się znajdują.</w:t>
      </w:r>
    </w:p>
    <w:p w14:paraId="0000000F" w14:textId="77777777" w:rsidR="00152F96" w:rsidRDefault="00152F96">
      <w:pPr>
        <w:spacing w:line="240" w:lineRule="auto"/>
        <w:ind w:left="0" w:right="0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10" w14:textId="5C0DC037" w:rsidR="00152F96" w:rsidRDefault="007128FA">
      <w:pPr>
        <w:spacing w:line="240" w:lineRule="auto"/>
        <w:ind w:left="0" w:right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Platforma umożliwia także zaprezentowanie własnej działalności oraz poznanie innych uczestników Kongresu. Mamy nadzieję, że będzie ona nie tylko źródłem inspiracji, ale także wirtualną przestrzenią nawiązywania kontaktów, które zaowocują ciekawymi projektami –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mówi Karolina Sakowicz, kierowniczka Działu Projektów Kulturalnych Centrum Archiwistyki Społecznej.</w:t>
      </w:r>
    </w:p>
    <w:p w14:paraId="00000011" w14:textId="77777777" w:rsidR="00152F96" w:rsidRDefault="00152F96">
      <w:pPr>
        <w:spacing w:line="240" w:lineRule="auto"/>
        <w:ind w:left="0" w:right="0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12" w14:textId="1DDF241C" w:rsidR="00152F96" w:rsidRDefault="007128FA">
      <w:pPr>
        <w:spacing w:line="240" w:lineRule="auto"/>
        <w:ind w:left="0" w:right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Aby wziąć udział w IV Kongresie Archiwów Społecznych, zarówno stacjonarnie, jak i online, należy zarejestrować się na stronie </w:t>
      </w:r>
      <w:hyperlink r:id="rId7">
        <w:r>
          <w:rPr>
            <w:rFonts w:ascii="Calibri" w:eastAsia="Calibri" w:hAnsi="Calibri" w:cs="Calibri"/>
            <w:color w:val="000000"/>
            <w:sz w:val="20"/>
            <w:szCs w:val="20"/>
            <w:u w:val="single"/>
          </w:rPr>
          <w:t>www.kongres.cas.org.pl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>. Rejestracja uczestników stacjonarnych potrwa od 23 do 29 sierpnia lub do wyczerpania miejsc. Rejestracja uczestników online potrwa od 23 sierpnia do 2</w:t>
      </w:r>
      <w:r w:rsidR="003F50D9">
        <w:rPr>
          <w:rFonts w:ascii="Calibri" w:eastAsia="Calibri" w:hAnsi="Calibri" w:cs="Calibri"/>
          <w:color w:val="000000"/>
          <w:sz w:val="20"/>
          <w:szCs w:val="20"/>
        </w:rPr>
        <w:t>4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września lub do wyczerpania miejsc. Udział w Kongresie jest bezpłatny.</w:t>
      </w:r>
    </w:p>
    <w:p w14:paraId="00000013" w14:textId="77777777" w:rsidR="00152F96" w:rsidRDefault="00152F96">
      <w:pPr>
        <w:spacing w:line="240" w:lineRule="auto"/>
        <w:ind w:left="0" w:right="0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14" w14:textId="77777777" w:rsidR="00152F96" w:rsidRDefault="007128FA">
      <w:pPr>
        <w:spacing w:line="240" w:lineRule="auto"/>
        <w:ind w:left="0" w:right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Partnerem IV Kongresu Archiwów Społecznych jest Muzeum Józefa Piłsudskiego w Sulejówku – instytucja, która współprowadzi archiwum społeczne, a także od lat realizuje programy we współpracy z mieszkańcami </w:t>
      </w:r>
      <w:r>
        <w:rPr>
          <w:rFonts w:ascii="Calibri" w:eastAsia="Calibri" w:hAnsi="Calibri" w:cs="Calibri"/>
          <w:color w:val="000000"/>
          <w:sz w:val="20"/>
          <w:szCs w:val="20"/>
        </w:rPr>
        <w:br/>
        <w:t>Sulejówka. IV Kongres Archiwów Społecznych dofinansowano ze środków Ministra Kultury, Dziedzictwa Narodowego i Sportu.</w:t>
      </w:r>
    </w:p>
    <w:p w14:paraId="00000015" w14:textId="77777777" w:rsidR="00152F96" w:rsidRDefault="00152F96">
      <w:pPr>
        <w:spacing w:line="240" w:lineRule="auto"/>
        <w:ind w:left="0" w:right="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16" w14:textId="77777777" w:rsidR="00152F96" w:rsidRDefault="00152F96">
      <w:pPr>
        <w:spacing w:line="240" w:lineRule="auto"/>
        <w:ind w:left="0" w:right="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17" w14:textId="77777777" w:rsidR="00152F96" w:rsidRDefault="007128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Organizator: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Centrum Archiwistyki Społecznej</w:t>
      </w:r>
    </w:p>
    <w:p w14:paraId="00000018" w14:textId="77777777" w:rsidR="00152F96" w:rsidRDefault="007128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Partner: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Muzeum Józefa Piłsudskiego w Sulejówku</w:t>
      </w:r>
    </w:p>
    <w:p w14:paraId="00000019" w14:textId="77777777" w:rsidR="00152F96" w:rsidRDefault="007128FA">
      <w:pPr>
        <w:spacing w:before="240" w:after="240"/>
        <w:ind w:left="0" w:right="0"/>
        <w:rPr>
          <w:rFonts w:ascii="Calibri" w:eastAsia="Calibri" w:hAnsi="Calibri" w:cs="Calibri"/>
          <w:color w:val="1F3864"/>
          <w:sz w:val="20"/>
          <w:szCs w:val="20"/>
        </w:rPr>
      </w:pPr>
      <w:r>
        <w:rPr>
          <w:rFonts w:ascii="Calibri" w:eastAsia="Calibri" w:hAnsi="Calibri" w:cs="Calibri"/>
          <w:color w:val="1F3864"/>
          <w:sz w:val="20"/>
          <w:szCs w:val="20"/>
        </w:rPr>
        <w:br/>
      </w:r>
      <w:r>
        <w:rPr>
          <w:rFonts w:ascii="Calibri" w:eastAsia="Calibri" w:hAnsi="Calibri" w:cs="Calibri"/>
          <w:b/>
          <w:color w:val="1F3864"/>
          <w:sz w:val="20"/>
          <w:szCs w:val="20"/>
        </w:rPr>
        <w:t>Kontakt dla mediów:</w:t>
      </w:r>
      <w:r>
        <w:rPr>
          <w:rFonts w:ascii="Calibri" w:eastAsia="Calibri" w:hAnsi="Calibri" w:cs="Calibri"/>
          <w:b/>
          <w:color w:val="1F3864"/>
          <w:sz w:val="20"/>
          <w:szCs w:val="20"/>
        </w:rPr>
        <w:br/>
      </w:r>
      <w:r>
        <w:rPr>
          <w:rFonts w:ascii="Calibri" w:eastAsia="Calibri" w:hAnsi="Calibri" w:cs="Calibri"/>
          <w:color w:val="1F3864"/>
          <w:sz w:val="20"/>
          <w:szCs w:val="20"/>
        </w:rPr>
        <w:t>Iwona Oleszczuk-Jaźwiecka</w:t>
      </w:r>
      <w:r>
        <w:rPr>
          <w:rFonts w:ascii="Calibri" w:eastAsia="Calibri" w:hAnsi="Calibri" w:cs="Calibri"/>
          <w:color w:val="1F3864"/>
          <w:sz w:val="20"/>
          <w:szCs w:val="20"/>
        </w:rPr>
        <w:br/>
        <w:t>Centrum Archiwistyki Społecznej</w:t>
      </w:r>
      <w:r>
        <w:rPr>
          <w:rFonts w:ascii="Calibri" w:eastAsia="Calibri" w:hAnsi="Calibri" w:cs="Calibri"/>
          <w:color w:val="1F3864"/>
          <w:sz w:val="20"/>
          <w:szCs w:val="20"/>
        </w:rPr>
        <w:br/>
        <w:t xml:space="preserve">tel. 531 30 14 87 </w:t>
      </w:r>
      <w:r>
        <w:rPr>
          <w:rFonts w:ascii="Calibri" w:eastAsia="Calibri" w:hAnsi="Calibri" w:cs="Calibri"/>
          <w:color w:val="1F3864"/>
          <w:sz w:val="20"/>
          <w:szCs w:val="20"/>
        </w:rPr>
        <w:br/>
        <w:t>e-mail: i.oleszczuk@cas.org.pl</w:t>
      </w:r>
    </w:p>
    <w:sectPr w:rsidR="00152F9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77" w:right="1417" w:bottom="3119" w:left="1417" w:header="851" w:footer="19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06CA" w14:textId="77777777" w:rsidR="004D4E28" w:rsidRDefault="004D4E28">
      <w:pPr>
        <w:spacing w:line="240" w:lineRule="auto"/>
      </w:pPr>
      <w:r>
        <w:separator/>
      </w:r>
    </w:p>
  </w:endnote>
  <w:endnote w:type="continuationSeparator" w:id="0">
    <w:p w14:paraId="631260C2" w14:textId="77777777" w:rsidR="004D4E28" w:rsidRDefault="004D4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chia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vo Ligh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-Regular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184F118D" w:rsidR="00152F96" w:rsidRDefault="00276EB7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0"/>
      <w:rPr>
        <w:rFonts w:ascii="Calibri" w:eastAsia="Calibri" w:hAnsi="Calibri" w:cs="Calibri"/>
        <w:color w:val="595959"/>
        <w:sz w:val="12"/>
        <w:szCs w:val="12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editId="2DC0B968">
          <wp:simplePos x="0" y="0"/>
          <wp:positionH relativeFrom="column">
            <wp:posOffset>4171950</wp:posOffset>
          </wp:positionH>
          <wp:positionV relativeFrom="paragraph">
            <wp:posOffset>52070</wp:posOffset>
          </wp:positionV>
          <wp:extent cx="1584325" cy="502920"/>
          <wp:effectExtent l="0" t="0" r="0" b="0"/>
          <wp:wrapNone/>
          <wp:docPr id="1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4325" cy="502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128FA">
      <w:rPr>
        <w:rFonts w:ascii="Calibri" w:eastAsia="Calibri" w:hAnsi="Calibri" w:cs="Calibri"/>
        <w:color w:val="595959"/>
        <w:sz w:val="12"/>
        <w:szCs w:val="12"/>
      </w:rPr>
      <w:t xml:space="preserve">IV Kongres Archiwów Społecznych dofinansowano ze środków </w:t>
    </w:r>
    <w:r w:rsidR="007128FA">
      <w:rPr>
        <w:rFonts w:ascii="Calibri" w:eastAsia="Calibri" w:hAnsi="Calibri" w:cs="Calibri"/>
        <w:color w:val="595959"/>
        <w:sz w:val="12"/>
        <w:szCs w:val="12"/>
      </w:rPr>
      <w:br/>
      <w:t>Ministra Kultury, Dziedzictwa Narodowego i Sportu</w:t>
    </w:r>
    <w:r w:rsidR="007128FA"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132131" cy="480477"/>
          <wp:effectExtent l="0" t="0" r="0" b="0"/>
          <wp:wrapSquare wrapText="bothSides" distT="0" distB="0" distL="114300" distR="114300"/>
          <wp:docPr id="172" name="image3.jpg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Obraz zawierający tekst&#10;&#10;Opis wygenerowany automatyczni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2131" cy="4804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25" w14:textId="11E4F9C7" w:rsidR="00152F96" w:rsidRDefault="00152F96">
    <w:pPr>
      <w:spacing w:before="240" w:after="240" w:line="240" w:lineRule="auto"/>
      <w:ind w:left="0" w:right="0"/>
      <w:rPr>
        <w:color w:val="050505"/>
      </w:rPr>
    </w:pPr>
  </w:p>
  <w:p w14:paraId="00000026" w14:textId="77777777" w:rsidR="00152F96" w:rsidRDefault="00152F96">
    <w:pPr>
      <w:spacing w:before="240" w:after="240" w:line="240" w:lineRule="auto"/>
      <w:ind w:left="0" w:right="0"/>
      <w:rPr>
        <w:color w:val="050505"/>
      </w:rPr>
    </w:pPr>
  </w:p>
  <w:p w14:paraId="00000027" w14:textId="77777777" w:rsidR="00152F96" w:rsidRDefault="00152F96">
    <w:pPr>
      <w:spacing w:before="240" w:after="240" w:line="240" w:lineRule="auto"/>
      <w:ind w:left="0" w:righ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5EA55EBF" w:rsidR="00152F96" w:rsidRDefault="00276EB7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0"/>
      <w:rPr>
        <w:rFonts w:ascii="Calibri" w:eastAsia="Calibri" w:hAnsi="Calibri" w:cs="Calibri"/>
        <w:color w:val="595959"/>
        <w:sz w:val="12"/>
        <w:szCs w:val="12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 wp14:editId="62F9C283">
          <wp:simplePos x="0" y="0"/>
          <wp:positionH relativeFrom="column">
            <wp:posOffset>4171950</wp:posOffset>
          </wp:positionH>
          <wp:positionV relativeFrom="paragraph">
            <wp:posOffset>-153035</wp:posOffset>
          </wp:positionV>
          <wp:extent cx="1584325" cy="502920"/>
          <wp:effectExtent l="0" t="0" r="0" b="0"/>
          <wp:wrapNone/>
          <wp:docPr id="17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4325" cy="502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21" w14:textId="6E7376E7" w:rsidR="00152F96" w:rsidRDefault="00152F96">
    <w:pPr>
      <w:spacing w:before="240" w:after="240" w:line="240" w:lineRule="auto"/>
      <w:ind w:left="0" w:right="0"/>
      <w:rPr>
        <w:color w:val="050505"/>
      </w:rPr>
    </w:pPr>
  </w:p>
  <w:p w14:paraId="00000022" w14:textId="77777777" w:rsidR="00152F96" w:rsidRDefault="00152F96">
    <w:pPr>
      <w:spacing w:before="240" w:after="240" w:line="240" w:lineRule="auto"/>
      <w:ind w:left="0" w:right="0"/>
    </w:pPr>
  </w:p>
  <w:p w14:paraId="00000023" w14:textId="77777777" w:rsidR="00152F96" w:rsidRDefault="00152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8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A0F8" w14:textId="77777777" w:rsidR="004D4E28" w:rsidRDefault="004D4E28">
      <w:pPr>
        <w:spacing w:line="240" w:lineRule="auto"/>
      </w:pPr>
      <w:r>
        <w:separator/>
      </w:r>
    </w:p>
  </w:footnote>
  <w:footnote w:type="continuationSeparator" w:id="0">
    <w:p w14:paraId="30CE429F" w14:textId="77777777" w:rsidR="004D4E28" w:rsidRDefault="004D4E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152F96" w:rsidRDefault="007128FA">
    <w:pPr>
      <w:ind w:left="0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-87629</wp:posOffset>
          </wp:positionH>
          <wp:positionV relativeFrom="paragraph">
            <wp:posOffset>28575</wp:posOffset>
          </wp:positionV>
          <wp:extent cx="1225948" cy="902434"/>
          <wp:effectExtent l="0" t="0" r="0" b="0"/>
          <wp:wrapNone/>
          <wp:docPr id="17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5948" cy="9024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E" w14:textId="77777777" w:rsidR="00152F96" w:rsidRDefault="00152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80" w:lineRule="auto"/>
      <w:ind w:firstLine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6E440CA9" w:rsidR="00152F96" w:rsidRDefault="007128FA">
    <w:pPr>
      <w:ind w:left="0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Warszawa, 1</w:t>
    </w:r>
    <w:r w:rsidR="003264D9">
      <w:rPr>
        <w:rFonts w:ascii="Calibri" w:eastAsia="Calibri" w:hAnsi="Calibri" w:cs="Calibri"/>
        <w:color w:val="000000"/>
        <w:sz w:val="20"/>
        <w:szCs w:val="20"/>
      </w:rPr>
      <w:t>6</w:t>
    </w:r>
    <w:r>
      <w:rPr>
        <w:rFonts w:ascii="Calibri" w:eastAsia="Calibri" w:hAnsi="Calibri" w:cs="Calibri"/>
        <w:color w:val="000000"/>
        <w:sz w:val="20"/>
        <w:szCs w:val="20"/>
      </w:rPr>
      <w:t>.08.2021 r.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-87629</wp:posOffset>
          </wp:positionH>
          <wp:positionV relativeFrom="paragraph">
            <wp:posOffset>28575</wp:posOffset>
          </wp:positionV>
          <wp:extent cx="1225948" cy="902434"/>
          <wp:effectExtent l="0" t="0" r="0" b="0"/>
          <wp:wrapNone/>
          <wp:docPr id="17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5948" cy="9024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B" w14:textId="77777777" w:rsidR="00152F96" w:rsidRDefault="00152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80" w:lineRule="auto"/>
      <w:ind w:firstLine="567"/>
    </w:pPr>
  </w:p>
  <w:p w14:paraId="0000001C" w14:textId="77777777" w:rsidR="00152F96" w:rsidRDefault="00152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8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96"/>
    <w:rsid w:val="00152F96"/>
    <w:rsid w:val="00276EB7"/>
    <w:rsid w:val="003264D9"/>
    <w:rsid w:val="003F50D9"/>
    <w:rsid w:val="004D4E28"/>
    <w:rsid w:val="005B0687"/>
    <w:rsid w:val="007128FA"/>
    <w:rsid w:val="00864412"/>
    <w:rsid w:val="009033FE"/>
    <w:rsid w:val="00F1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5884"/>
  <w15:docId w15:val="{2F5FBDFE-26A9-4373-8873-3527EDDC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chia" w:eastAsia="Archia" w:hAnsi="Archia" w:cs="Archia"/>
        <w:color w:val="000F52"/>
        <w:sz w:val="18"/>
        <w:szCs w:val="18"/>
        <w:lang w:val="pl-PL" w:eastAsia="pl-PL" w:bidi="ar-SA"/>
      </w:rPr>
    </w:rPrDefault>
    <w:pPrDefault>
      <w:pPr>
        <w:spacing w:line="280" w:lineRule="auto"/>
        <w:ind w:left="567" w:right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4B7"/>
    <w:pPr>
      <w:spacing w:line="280" w:lineRule="exact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">
    <w:name w:val="Tabela"/>
    <w:basedOn w:val="Standardowy"/>
    <w:uiPriority w:val="99"/>
    <w:rsid w:val="00F50F3E"/>
    <w:rPr>
      <w:rFonts w:ascii="Clavo Light" w:hAnsi="Clavo Light"/>
      <w:color w:val="000000" w:themeColor="text1"/>
      <w:sz w:val="22"/>
    </w:rPr>
    <w:tblPr>
      <w:tblBorders>
        <w:bottom w:val="single" w:sz="4" w:space="0" w:color="auto"/>
        <w:insideH w:val="single" w:sz="4" w:space="0" w:color="auto"/>
      </w:tblBorders>
    </w:tblPr>
  </w:style>
  <w:style w:type="paragraph" w:customStyle="1" w:styleId="BillenniumSubtitle">
    <w:name w:val="Billennium Subtitle"/>
    <w:basedOn w:val="Normalny"/>
    <w:next w:val="Normalny"/>
    <w:link w:val="BillenniumSubtitleZnak"/>
    <w:rsid w:val="009A63DF"/>
    <w:pPr>
      <w:autoSpaceDE w:val="0"/>
      <w:autoSpaceDN w:val="0"/>
      <w:adjustRightInd w:val="0"/>
      <w:spacing w:before="120" w:after="280"/>
    </w:pPr>
    <w:rPr>
      <w:rFonts w:eastAsia="Calibri" w:cs="Roboto-Regular"/>
      <w:color w:val="000000" w:themeColor="text1"/>
    </w:rPr>
  </w:style>
  <w:style w:type="character" w:customStyle="1" w:styleId="BillenniumSubtitleZnak">
    <w:name w:val="Billennium Subtitle Znak"/>
    <w:basedOn w:val="Domylnaczcionkaakapitu"/>
    <w:link w:val="BillenniumSubtitle"/>
    <w:locked/>
    <w:rsid w:val="009A63DF"/>
    <w:rPr>
      <w:rFonts w:eastAsia="Calibri" w:cs="Roboto-Regular"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EA73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35B"/>
  </w:style>
  <w:style w:type="paragraph" w:styleId="Stopka">
    <w:name w:val="footer"/>
    <w:basedOn w:val="Normalny"/>
    <w:link w:val="StopkaZnak"/>
    <w:uiPriority w:val="99"/>
    <w:unhideWhenUsed/>
    <w:rsid w:val="00EA73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35B"/>
  </w:style>
  <w:style w:type="paragraph" w:styleId="Bezodstpw">
    <w:name w:val="No Spacing"/>
    <w:uiPriority w:val="1"/>
    <w:rsid w:val="00EA735B"/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80" w:lineRule="auto"/>
      <w:ind w:hanging="567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463919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63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ngres.cas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XADsAEQUN1XLmLGZ50tCjPe49g==">AMUW2mXylOawN3Xqr+gW2SG3dLCVbksTbjHMMeazl3SZZh5gCHVFDqmPf65JIGLr1Oj6ck90Z4I/D94ruGz6GHyvXK11M/cIMwSQ/gb96rS0THcPcmXSfOE=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 TFI</dc:creator>
  <cp:lastModifiedBy>Iwona Oleszczuk-Jaźwiecka</cp:lastModifiedBy>
  <cp:revision>6</cp:revision>
  <dcterms:created xsi:type="dcterms:W3CDTF">2021-08-12T14:06:00Z</dcterms:created>
  <dcterms:modified xsi:type="dcterms:W3CDTF">2021-08-13T12:39:00Z</dcterms:modified>
</cp:coreProperties>
</file>